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Joint Schedule 3 (Insurance Requirements)</w:t>
      </w:r>
    </w:p>
    <w:p w:rsidR="00000000" w:rsidDel="00000000" w:rsidP="00000000" w:rsidRDefault="00000000" w:rsidRPr="00000000" w14:paraId="00000002">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54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The insurance you need to have</w:t>
      </w:r>
      <w:r w:rsidDel="00000000" w:rsidR="00000000" w:rsidRPr="00000000">
        <w:rPr>
          <w:rtl w:val="0"/>
        </w:rPr>
      </w:r>
    </w:p>
    <w:p w:rsidR="00000000" w:rsidDel="00000000" w:rsidP="00000000" w:rsidRDefault="00000000" w:rsidRPr="00000000" w14:paraId="00000003">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take out and maintain, or procure the taking out and maintenance of the insurances as set out in the Annex to this Schedule, any additional insurances required under a Call-Off Contract (specified in the applicable Order Form)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Additional Insurances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 any other insurances as may be required by applicable Law (together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Insurances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Supplier shall ensure that each of the Insurances is effective no later than: </w:t>
      </w:r>
    </w:p>
    <w:p w:rsidR="00000000" w:rsidDel="00000000" w:rsidP="00000000" w:rsidRDefault="00000000" w:rsidRPr="00000000" w14:paraId="00000004">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Framework Start Date in respect of those Insurances set out in the Annex to this Schedule and those required by applicable Law; and </w:t>
      </w:r>
    </w:p>
    <w:p w:rsidR="00000000" w:rsidDel="00000000" w:rsidP="00000000" w:rsidRDefault="00000000" w:rsidRPr="00000000" w14:paraId="00000005">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Call-Off Contract Effective Date in respect of the Additional Insurances.</w:t>
      </w:r>
    </w:p>
    <w:p w:rsidR="00000000" w:rsidDel="00000000" w:rsidP="00000000" w:rsidRDefault="00000000" w:rsidRPr="00000000" w14:paraId="00000006">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Insurances shall be: </w:t>
      </w:r>
    </w:p>
    <w:p w:rsidR="00000000" w:rsidDel="00000000" w:rsidP="00000000" w:rsidRDefault="00000000" w:rsidRPr="00000000" w14:paraId="00000007">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maintained in accordance with Good Industry Practice; </w:t>
      </w:r>
    </w:p>
    <w:p w:rsidR="00000000" w:rsidDel="00000000" w:rsidP="00000000" w:rsidRDefault="00000000" w:rsidRPr="00000000" w14:paraId="00000008">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(so far as is reasonably practicable) on terms no less favourable than those generally available to a prudent contractor in respect of risks insured in the international insurance market from time to time;</w:t>
      </w:r>
    </w:p>
    <w:p w:rsidR="00000000" w:rsidDel="00000000" w:rsidP="00000000" w:rsidRDefault="00000000" w:rsidRPr="00000000" w14:paraId="00000009">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taken out and maintained with insurers of good financial standing and good repute in the international insurance market; and</w:t>
      </w:r>
    </w:p>
    <w:p w:rsidR="00000000" w:rsidDel="00000000" w:rsidP="00000000" w:rsidRDefault="00000000" w:rsidRPr="00000000" w14:paraId="0000000A">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maintained for at least six (6) years after the End Date.</w:t>
      </w:r>
    </w:p>
    <w:p w:rsidR="00000000" w:rsidDel="00000000" w:rsidP="00000000" w:rsidRDefault="00000000" w:rsidRPr="00000000" w14:paraId="0000000B">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the public and products liability policy contain an indemnity to principals clause under which the Relevant Authority shall be indemnified in respect of claims made against the Relevant Authority in respect of death or bodily injury or third party property damage arising out of or in connection with the Deliverables and for which the Supplier is legally liable.</w:t>
      </w:r>
    </w:p>
    <w:p w:rsidR="00000000" w:rsidDel="00000000" w:rsidP="00000000" w:rsidRDefault="00000000" w:rsidRPr="00000000" w14:paraId="0000000C">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54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How to manage the insurance</w:t>
      </w:r>
      <w:r w:rsidDel="00000000" w:rsidR="00000000" w:rsidRPr="00000000">
        <w:rPr>
          <w:rtl w:val="0"/>
        </w:rPr>
      </w:r>
    </w:p>
    <w:p w:rsidR="00000000" w:rsidDel="00000000" w:rsidP="00000000" w:rsidRDefault="00000000" w:rsidRPr="00000000" w14:paraId="0000000D">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Without limiting the other provisions of this Contract, the Supplier shall:</w:t>
      </w:r>
    </w:p>
    <w:p w:rsidR="00000000" w:rsidDel="00000000" w:rsidP="00000000" w:rsidRDefault="00000000" w:rsidRPr="00000000" w14:paraId="0000000E">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2835"/>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take or procure the taking of all reasonable risk management and risk control measures in relation to Deliverables as it would be reasonable to expect of a prudent contractor acting in accordance with Good Industry Practice, including the investigation and reports of relevant claims to insurers;</w:t>
      </w:r>
    </w:p>
    <w:p w:rsidR="00000000" w:rsidDel="00000000" w:rsidP="00000000" w:rsidRDefault="00000000" w:rsidRPr="00000000" w14:paraId="0000000F">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2835"/>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promptly notify the insurers in writing of any relevant material fact under any Insurances of which the Supplier is or becomes aware; and</w:t>
      </w:r>
    </w:p>
    <w:p w:rsidR="00000000" w:rsidDel="00000000" w:rsidP="00000000" w:rsidRDefault="00000000" w:rsidRPr="00000000" w14:paraId="00000010">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2835"/>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hold all policies in respect of the Insurances and cause any insurance broker effecting the Insurances to hold any insurance slips and other evidence of placing cover representing any of the Insurances to which it is a party.</w:t>
      </w:r>
    </w:p>
    <w:p w:rsidR="00000000" w:rsidDel="00000000" w:rsidP="00000000" w:rsidRDefault="00000000" w:rsidRPr="00000000" w14:paraId="00000011">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54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happens if you aren’t insured</w:t>
      </w:r>
      <w:r w:rsidDel="00000000" w:rsidR="00000000" w:rsidRPr="00000000">
        <w:rPr>
          <w:rtl w:val="0"/>
        </w:rPr>
      </w:r>
    </w:p>
    <w:p w:rsidR="00000000" w:rsidDel="00000000" w:rsidP="00000000" w:rsidRDefault="00000000" w:rsidRPr="00000000" w14:paraId="00000012">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not take any action or fail to take any action or (insofar as is reasonably within its power) permit anything to occur in relation to it which would entitle any insurer to refuse to pay any claim under any of the Insurances.</w:t>
      </w:r>
    </w:p>
    <w:p w:rsidR="00000000" w:rsidDel="00000000" w:rsidP="00000000" w:rsidRDefault="00000000" w:rsidRPr="00000000" w14:paraId="00000013">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has failed to purchase or maintain any of the Insurances in full force and effect, the Relevant Authority may elect (but shall not be obliged) following written notice to the Supplier to purchase the relevant Insurances and recover the reasonable premium and other reasonable costs incurred in connection therewith as a debt due from the Supplier.</w:t>
      </w:r>
    </w:p>
    <w:p w:rsidR="00000000" w:rsidDel="00000000" w:rsidP="00000000" w:rsidRDefault="00000000" w:rsidRPr="00000000" w14:paraId="00000014">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54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Evidence of insurance you must provide</w:t>
      </w:r>
      <w:r w:rsidDel="00000000" w:rsidR="00000000" w:rsidRPr="00000000">
        <w:rPr>
          <w:rtl w:val="0"/>
        </w:rPr>
      </w:r>
    </w:p>
    <w:p w:rsidR="00000000" w:rsidDel="00000000" w:rsidP="00000000" w:rsidRDefault="00000000" w:rsidRPr="00000000" w14:paraId="00000015">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rFonts w:ascii="Arial" w:cs="Arial" w:eastAsia="Arial" w:hAnsi="Arial"/>
          <w:b w:val="0"/>
          <w:i w:val="0"/>
          <w:smallCaps w:val="1"/>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upon the Start Date and within 15 Working Days after the renewal of each of the Insurances, provide evidence, in a form satisfactory to the Relevant Authority, that the Insurances are in force and effect and meet in full the requirements of this Schedule.</w:t>
      </w:r>
      <w:r w:rsidDel="00000000" w:rsidR="00000000" w:rsidRPr="00000000">
        <w:rPr>
          <w:rtl w:val="0"/>
        </w:rPr>
      </w:r>
    </w:p>
    <w:p w:rsidR="00000000" w:rsidDel="00000000" w:rsidP="00000000" w:rsidRDefault="00000000" w:rsidRPr="00000000" w14:paraId="00000016">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54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Making sure you are insured to the required amount</w:t>
      </w:r>
      <w:r w:rsidDel="00000000" w:rsidR="00000000" w:rsidRPr="00000000">
        <w:rPr>
          <w:rtl w:val="0"/>
        </w:rPr>
      </w:r>
    </w:p>
    <w:p w:rsidR="00000000" w:rsidDel="00000000" w:rsidP="00000000" w:rsidRDefault="00000000" w:rsidRPr="00000000" w14:paraId="00000017">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rFonts w:ascii="Arial" w:cs="Arial" w:eastAsia="Arial" w:hAnsi="Arial"/>
          <w:b w:val="0"/>
          <w:i w:val="0"/>
          <w:smallCaps w:val="1"/>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any Insurances which are stated to have a minimum limit "in the aggregate" are maintained at all times for the minimum limit of indemnity specified in this Contract and if any claims are made which do not relate to this Contract then the Supplier shall notify the Relevant Authority and provide details of its proposed solution for maintaining the minimum limit of indemnity.</w:t>
      </w:r>
      <w:r w:rsidDel="00000000" w:rsidR="00000000" w:rsidRPr="00000000">
        <w:rPr>
          <w:rtl w:val="0"/>
        </w:rPr>
      </w:r>
    </w:p>
    <w:p w:rsidR="00000000" w:rsidDel="00000000" w:rsidP="00000000" w:rsidRDefault="00000000" w:rsidRPr="00000000" w14:paraId="00000018">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54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Cancelled Insurance</w:t>
      </w:r>
      <w:r w:rsidDel="00000000" w:rsidR="00000000" w:rsidRPr="00000000">
        <w:rPr>
          <w:rtl w:val="0"/>
        </w:rPr>
      </w:r>
    </w:p>
    <w:p w:rsidR="00000000" w:rsidDel="00000000" w:rsidP="00000000" w:rsidRDefault="00000000" w:rsidRPr="00000000" w14:paraId="00000019">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rFonts w:ascii="Arial" w:cs="Arial" w:eastAsia="Arial" w:hAnsi="Arial"/>
          <w:b w:val="0"/>
          <w:i w:val="0"/>
          <w:smallCaps w:val="1"/>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notify the Relevant Authority in writing at least five (5) Working Days prior to the cancellation, suspension, termination or non-renewal of any of the Insurances.</w:t>
      </w:r>
      <w:r w:rsidDel="00000000" w:rsidR="00000000" w:rsidRPr="00000000">
        <w:rPr>
          <w:rtl w:val="0"/>
        </w:rPr>
      </w:r>
    </w:p>
    <w:p w:rsidR="00000000" w:rsidDel="00000000" w:rsidP="00000000" w:rsidRDefault="00000000" w:rsidRPr="00000000" w14:paraId="0000001A">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rFonts w:ascii="Arial" w:cs="Arial" w:eastAsia="Arial" w:hAnsi="Arial"/>
          <w:b w:val="0"/>
          <w:i w:val="0"/>
          <w:smallCaps w:val="1"/>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nothing is done which would entitle the relevant insurer to cancel, rescind or suspend any insurance or cover, or to treat any insurance, cover or claim as voided in whole or part.  The Supplier shall use all reasonable endeavours to notify the Relevant Authority (subject to third party confidentiality obligations) as soon as practicable when it becomes aware of any relevant fact, circumstance or matter which has caused, or is reasonably likely to provide grounds to, the relevant insurer to give notice to cancel, rescind, suspend or void any insurance, or any cover or claim under any insurance in whole or in part.</w:t>
      </w:r>
      <w:r w:rsidDel="00000000" w:rsidR="00000000" w:rsidRPr="00000000">
        <w:rPr>
          <w:rtl w:val="0"/>
        </w:rPr>
      </w:r>
    </w:p>
    <w:p w:rsidR="00000000" w:rsidDel="00000000" w:rsidP="00000000" w:rsidRDefault="00000000" w:rsidRPr="00000000" w14:paraId="0000001B">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54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Insurance claims</w:t>
      </w:r>
    </w:p>
    <w:p w:rsidR="00000000" w:rsidDel="00000000" w:rsidP="00000000" w:rsidRDefault="00000000" w:rsidRPr="00000000" w14:paraId="0000001C">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promptly notify to insurers any matter arising from, or in relation to, the Deliverables, or each Contract for which it may be entitled to claim under any of the Insurances.  In the event that the Relevant Authority receives a claim relating to or arising out of a Contract or the Deliverables, the Supplier shall co-operate with the Relevant Authority and assist it in dealing with such claims including without limitation providing information and documentation in a timely manner.</w:t>
      </w:r>
    </w:p>
    <w:p w:rsidR="00000000" w:rsidDel="00000000" w:rsidP="00000000" w:rsidRDefault="00000000" w:rsidRPr="00000000" w14:paraId="0000001D">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Except where the Relevant Authority is the claimant party, the Supplier shall give the Relevant Authority notice within twenty (20) Working Days after any insurance claim in excess of 10% of the sum required to be insured pursuant to Paragraph 5.1 relating to or arising out of the provision of the Deliverables or this Contract on any of the Insurances or which, but for the application of the applicable policy excess, would be made on any of the Insurances and (if required by the Relevant Authority) full details of the incident giving rise to the claim.</w:t>
      </w:r>
    </w:p>
    <w:p w:rsidR="00000000" w:rsidDel="00000000" w:rsidP="00000000" w:rsidRDefault="00000000" w:rsidRPr="00000000" w14:paraId="0000001E">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any Insurance requires payment of a premium, the Supplier shall be liable for and shall promptly pay such premium.</w:t>
      </w:r>
    </w:p>
    <w:p w:rsidR="00000000" w:rsidDel="00000000" w:rsidP="00000000" w:rsidRDefault="00000000" w:rsidRPr="00000000" w14:paraId="0000001F">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20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any Insurance is subject to an excess or deductible below which the indemnity from insurers is excluded, the Supplier shall be liable for such excess or deductible.  The Supplier shall not be entitled to recover from the Relevant Authority any sum paid by way of excess or deductible under the Insurances whether under the terms of this Contract or otherwise.</w:t>
      </w:r>
      <w:r w:rsidDel="00000000" w:rsidR="00000000" w:rsidRPr="00000000">
        <w:br w:type="page"/>
      </w:r>
      <w:r w:rsidDel="00000000" w:rsidR="00000000" w:rsidRPr="00000000">
        <w:rPr>
          <w:rtl w:val="0"/>
        </w:rPr>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8"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ANNEX: REQUIRED INSURANCES</w:t>
      </w:r>
    </w:p>
    <w:p w:rsidR="00000000" w:rsidDel="00000000" w:rsidP="00000000" w:rsidRDefault="00000000" w:rsidRPr="00000000" w14:paraId="00000021">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rFonts w:ascii="Arial" w:cs="Arial" w:eastAsia="Arial" w:hAnsi="Arial"/>
          <w:b w:val="0"/>
          <w:i w:val="0"/>
          <w:smallCaps w:val="1"/>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hold the following [standard] insurance cover from the Framework Start Date in accordance with this Schedule:</w:t>
      </w:r>
      <w:r w:rsidDel="00000000" w:rsidR="00000000" w:rsidRPr="00000000">
        <w:rPr>
          <w:rtl w:val="0"/>
        </w:rPr>
      </w:r>
    </w:p>
    <w:bookmarkStart w:colFirst="0" w:colLast="0" w:name="bookmark=id.1fob9te" w:id="2"/>
    <w:bookmarkEnd w:id="2"/>
    <w:p w:rsidR="00000000" w:rsidDel="00000000" w:rsidP="00000000" w:rsidRDefault="00000000" w:rsidRPr="00000000" w14:paraId="0000002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professional indemnity insurance with cover for a single event or a series of related events and in the aggregate) of not less than </w:t>
      </w:r>
      <w:r w:rsidDel="00000000" w:rsidR="00000000" w:rsidRPr="00000000">
        <w:rPr>
          <w:rFonts w:ascii="Arial" w:cs="Arial" w:eastAsia="Arial" w:hAnsi="Arial"/>
          <w:sz w:val="24"/>
          <w:szCs w:val="24"/>
          <w:rtl w:val="0"/>
        </w:rPr>
        <w:t xml:space="preserve">five </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million pounds (£</w:t>
      </w:r>
      <w:r w:rsidDel="00000000" w:rsidR="00000000" w:rsidRPr="00000000">
        <w:rPr>
          <w:rFonts w:ascii="Arial" w:cs="Arial" w:eastAsia="Arial" w:hAnsi="Arial"/>
          <w:sz w:val="24"/>
          <w:szCs w:val="24"/>
          <w:rtl w:val="0"/>
        </w:rPr>
        <w:t xml:space="preserve">5</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,000,000); </w:t>
      </w:r>
    </w:p>
    <w:p w:rsidR="00000000" w:rsidDel="00000000" w:rsidP="00000000" w:rsidRDefault="00000000" w:rsidRPr="00000000" w14:paraId="0000002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public liability insurance with cover for a single event or a series of related events and in the aggregate of not less than </w:t>
      </w:r>
      <w:r w:rsidDel="00000000" w:rsidR="00000000" w:rsidRPr="00000000">
        <w:rPr>
          <w:rFonts w:ascii="Arial" w:cs="Arial" w:eastAsia="Arial" w:hAnsi="Arial"/>
          <w:sz w:val="24"/>
          <w:szCs w:val="24"/>
          <w:rtl w:val="0"/>
        </w:rPr>
        <w:t xml:space="preserve">five </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million pounds (£</w:t>
      </w:r>
      <w:r w:rsidDel="00000000" w:rsidR="00000000" w:rsidRPr="00000000">
        <w:rPr>
          <w:rFonts w:ascii="Arial" w:cs="Arial" w:eastAsia="Arial" w:hAnsi="Arial"/>
          <w:sz w:val="24"/>
          <w:szCs w:val="24"/>
          <w:rtl w:val="0"/>
        </w:rPr>
        <w:t xml:space="preserve">5</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,000,000); and</w:t>
      </w:r>
    </w:p>
    <w:p w:rsidR="00000000" w:rsidDel="00000000" w:rsidP="00000000" w:rsidRDefault="00000000" w:rsidRPr="00000000" w14:paraId="0000002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rFonts w:ascii="Arial" w:cs="Arial" w:eastAsia="Arial" w:hAnsi="Arial"/>
          <w:b w:val="0"/>
          <w:i w:val="0"/>
          <w:smallCaps w:val="0"/>
          <w:strike w:val="0"/>
          <w:color w:val="000000"/>
          <w:sz w:val="24"/>
          <w:szCs w:val="24"/>
          <w:vertAlign w:val="baseline"/>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4"/>
          <w:szCs w:val="24"/>
          <w:u w:val="none"/>
          <w:vertAlign w:val="baseline"/>
          <w:rtl w:val="0"/>
        </w:rPr>
        <w:t xml:space="preserve">employers’ liability insurance for a single event of not less than</w:t>
      </w:r>
      <w:r w:rsidDel="00000000" w:rsidR="00000000" w:rsidRPr="00000000">
        <w:rPr>
          <w:rFonts w:ascii="Arial" w:cs="Arial" w:eastAsia="Arial" w:hAnsi="Arial"/>
          <w:sz w:val="24"/>
          <w:szCs w:val="24"/>
          <w:rtl w:val="0"/>
        </w:rPr>
        <w:t xml:space="preserve"> five</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 million pounds (£</w:t>
      </w:r>
      <w:r w:rsidDel="00000000" w:rsidR="00000000" w:rsidRPr="00000000">
        <w:rPr>
          <w:rFonts w:ascii="Arial" w:cs="Arial" w:eastAsia="Arial" w:hAnsi="Arial"/>
          <w:sz w:val="24"/>
          <w:szCs w:val="24"/>
          <w:rtl w:val="0"/>
        </w:rPr>
        <w:t xml:space="preserve">5</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,000,000). </w:t>
      </w:r>
      <w:r w:rsidDel="00000000" w:rsidR="00000000" w:rsidRPr="00000000">
        <w:rPr>
          <w:rtl w:val="0"/>
        </w:rPr>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540" w:right="0" w:hanging="360"/>
        <w:jc w:val="left"/>
        <w:rPr>
          <w:rFonts w:ascii="Arial" w:cs="Arial" w:eastAsia="Arial" w:hAnsi="Arial"/>
          <w:b w:val="0"/>
          <w:i w:val="0"/>
          <w:smallCaps w:val="1"/>
          <w:strike w:val="0"/>
          <w:color w:val="000000"/>
          <w:sz w:val="24"/>
          <w:szCs w:val="24"/>
          <w:u w:val="none"/>
          <w:shd w:fill="auto" w:val="clear"/>
          <w:vertAlign w:val="baseline"/>
        </w:rPr>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pPr>
      <w:r w:rsidDel="00000000" w:rsidR="00000000" w:rsidRPr="00000000">
        <w:rPr>
          <w:rtl w:val="0"/>
        </w:rPr>
      </w:r>
    </w:p>
    <w:p w:rsidR="00000000" w:rsidDel="00000000" w:rsidP="00000000" w:rsidRDefault="00000000" w:rsidRPr="00000000" w14:paraId="00000026">
      <w:pPr>
        <w:pageBreakBefore w:val="0"/>
        <w:rPr/>
      </w:pPr>
      <w:r w:rsidDel="00000000" w:rsidR="00000000" w:rsidRPr="00000000">
        <w:rPr>
          <w:rtl w:val="0"/>
        </w:rPr>
      </w:r>
    </w:p>
    <w:sectPr>
      <w:type w:val="nextPage"/>
      <w:pgSz w:h="16838" w:w="11906" w:orient="portrait"/>
      <w:pgMar w:bottom="1440" w:top="1440"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C">
    <w:pPr>
      <w:tabs>
        <w:tab w:val="center" w:leader="none" w:pos="4513"/>
        <w:tab w:val="right" w:leader="none" w:pos="9026"/>
      </w:tabs>
      <w:spacing w:after="0" w:lineRule="auto"/>
      <w:rPr>
        <w:rFonts w:ascii="Arial" w:cs="Arial" w:eastAsia="Arial" w:hAnsi="Arial"/>
        <w:color w:val="bfbfbf"/>
        <w:sz w:val="20"/>
        <w:szCs w:val="20"/>
      </w:rPr>
    </w:pPr>
    <w:r w:rsidDel="00000000" w:rsidR="00000000" w:rsidRPr="00000000">
      <w:rPr>
        <w:rtl w:val="0"/>
      </w:rPr>
    </w:r>
  </w:p>
  <w:p w:rsidR="00000000" w:rsidDel="00000000" w:rsidP="00000000" w:rsidRDefault="00000000" w:rsidRPr="00000000" w14:paraId="0000002D">
    <w:pPr>
      <w:tabs>
        <w:tab w:val="center" w:leader="none" w:pos="4513"/>
        <w:tab w:val="right" w:leader="none" w:pos="9026"/>
      </w:tabs>
      <w:spacing w:after="0" w:lineRule="auto"/>
      <w:jc w:val="left"/>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Framework Ref: RM</w:t>
      <w:tab/>
      <w:t xml:space="preserve">                                           </w:t>
    </w:r>
  </w:p>
  <w:p w:rsidR="00000000" w:rsidDel="00000000" w:rsidP="00000000" w:rsidRDefault="00000000" w:rsidRPr="00000000" w14:paraId="0000002E">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bfbfbf"/>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F">
    <w:pPr>
      <w:spacing w:after="0" w:lineRule="auto"/>
      <w:jc w:val="left"/>
      <w:rPr>
        <w:color w:val="bfbfbf"/>
      </w:rPr>
    </w:pPr>
    <w:r w:rsidDel="00000000" w:rsidR="00000000" w:rsidRPr="00000000">
      <w:rPr>
        <w:rFonts w:ascii="Arial" w:cs="Arial" w:eastAsia="Arial" w:hAnsi="Arial"/>
        <w:color w:val="bfbfbf"/>
        <w:sz w:val="20"/>
        <w:szCs w:val="20"/>
        <w:rtl w:val="0"/>
      </w:rPr>
      <w:t xml:space="preserve">Model Version : v3.0</w:t>
      <w:tab/>
      <w:tab/>
      <w:tab/>
      <w:tab/>
      <w:tab/>
      <w:tab/>
      <w:tab/>
      <w:tab/>
      <w:tab/>
    </w:r>
    <w:r w:rsidDel="00000000" w:rsidR="00000000" w:rsidRPr="00000000">
      <w:rPr>
        <w:color w:val="bfbfbf"/>
        <w:rtl w:val="0"/>
      </w:rPr>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0">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RM6302 - Language Services</w:t>
      <w:tab/>
      <w:t xml:space="preserve">                                           </w:t>
    </w:r>
  </w:p>
  <w:p w:rsidR="00000000" w:rsidDel="00000000" w:rsidP="00000000" w:rsidRDefault="00000000" w:rsidRPr="00000000" w14:paraId="00000031">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2">
    <w:pPr>
      <w:spacing w:after="0" w:lineRule="auto"/>
      <w:rPr/>
    </w:pPr>
    <w:r w:rsidDel="00000000" w:rsidR="00000000" w:rsidRPr="00000000">
      <w:rPr>
        <w:rFonts w:ascii="Arial" w:cs="Arial" w:eastAsia="Arial" w:hAnsi="Arial"/>
        <w:sz w:val="20"/>
        <w:szCs w:val="20"/>
        <w:rtl w:val="0"/>
      </w:rPr>
      <w:t xml:space="preserve">Model Version: v3.1</w:t>
      <w:tab/>
      <w:tab/>
      <w:tab/>
      <w:tab/>
      <w:tab/>
      <w:tab/>
      <w:tab/>
      <w:tab/>
      <w:tab/>
    </w:r>
    <w:r w:rsidDel="00000000" w:rsidR="00000000" w:rsidRPr="00000000">
      <w:rPr>
        <w:rtl w:val="0"/>
      </w:rPr>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7">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1"/>
        <w:i w:val="0"/>
        <w:smallCaps w:val="0"/>
        <w:strike w:val="0"/>
        <w:color w:val="bfbfbf"/>
        <w:sz w:val="20"/>
        <w:szCs w:val="20"/>
        <w:u w:val="none"/>
        <w:shd w:fill="auto" w:val="clear"/>
        <w:vertAlign w:val="baseline"/>
      </w:rPr>
    </w:pPr>
    <w:r w:rsidDel="00000000" w:rsidR="00000000" w:rsidRPr="00000000">
      <w:rPr>
        <w:rFonts w:ascii="Arial" w:cs="Arial" w:eastAsia="Arial" w:hAnsi="Arial"/>
        <w:b w:val="1"/>
        <w:i w:val="0"/>
        <w:smallCaps w:val="0"/>
        <w:strike w:val="0"/>
        <w:color w:val="bfbfbf"/>
        <w:sz w:val="20"/>
        <w:szCs w:val="20"/>
        <w:u w:val="none"/>
        <w:shd w:fill="auto" w:val="clear"/>
        <w:vertAlign w:val="baseline"/>
        <w:rtl w:val="0"/>
      </w:rPr>
      <w:t xml:space="preserve">Joint Schedule 3 (Insurance Requirements)</w:t>
    </w:r>
  </w:p>
  <w:p w:rsidR="00000000" w:rsidDel="00000000" w:rsidP="00000000" w:rsidRDefault="00000000" w:rsidRPr="00000000" w14:paraId="00000028">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 xml:space="preserve">Crown Copyright </w:t>
    </w:r>
  </w:p>
  <w:p w:rsidR="00000000" w:rsidDel="00000000" w:rsidP="00000000" w:rsidRDefault="00000000" w:rsidRPr="00000000" w14:paraId="00000029">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A">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Joint Schedule 3 (Insurance Requirements)</w:t>
    </w:r>
  </w:p>
  <w:p w:rsidR="00000000" w:rsidDel="00000000" w:rsidP="00000000" w:rsidRDefault="00000000" w:rsidRPr="00000000" w14:paraId="0000002B">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w:t>
    </w:r>
    <w:r w:rsidDel="00000000" w:rsidR="00000000" w:rsidRPr="00000000">
      <w:rPr>
        <w:rFonts w:ascii="Arial" w:cs="Arial" w:eastAsia="Arial" w:hAnsi="Arial"/>
        <w:sz w:val="20"/>
        <w:szCs w:val="20"/>
        <w:rtl w:val="0"/>
      </w:rPr>
      <w:t xml:space="preserve">23</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54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391" w:hanging="36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602"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302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620" w:hanging="1080"/>
      </w:pPr>
      <w:rPr>
        <w:b w:val="0"/>
        <w:i w:val="0"/>
        <w:smallCaps w:val="0"/>
        <w:strike w:val="0"/>
        <w:color w:val="000000"/>
        <w:u w:val="none"/>
        <w:vertAlign w:val="baseline"/>
      </w:rPr>
    </w:lvl>
    <w:lvl w:ilvl="5">
      <w:start w:val="1"/>
      <w:numFmt w:val="upperLetter"/>
      <w:lvlText w:val="(%6)"/>
      <w:lvlJc w:val="left"/>
      <w:pPr>
        <w:ind w:left="1620" w:hanging="1080"/>
      </w:pPr>
      <w:rPr>
        <w:b w:val="0"/>
        <w:i w:val="0"/>
        <w:smallCaps w:val="0"/>
        <w:strike w:val="0"/>
        <w:color w:val="000000"/>
        <w:u w:val="none"/>
        <w:vertAlign w:val="baseline"/>
      </w:rPr>
    </w:lvl>
    <w:lvl w:ilvl="6">
      <w:start w:val="1"/>
      <w:numFmt w:val="decimal"/>
      <w:lvlText w:val="%1.%2.%3.%4.%5.%6.%7"/>
      <w:lvlJc w:val="left"/>
      <w:pPr>
        <w:ind w:left="1980" w:hanging="1440"/>
      </w:pPr>
      <w:rPr/>
    </w:lvl>
    <w:lvl w:ilvl="7">
      <w:start w:val="1"/>
      <w:numFmt w:val="decimal"/>
      <w:lvlText w:val="%1.%2.%3.%4.%5.%6.%7.%8"/>
      <w:lvlJc w:val="left"/>
      <w:pPr>
        <w:ind w:left="1980" w:hanging="1440"/>
      </w:pPr>
      <w:rPr/>
    </w:lvl>
    <w:lvl w:ilvl="8">
      <w:start w:val="1"/>
      <w:numFmt w:val="decimal"/>
      <w:lvlText w:val="%1.%2.%3.%4.%5.%6.%7.%8.%9"/>
      <w:lvlJc w:val="left"/>
      <w:pPr>
        <w:ind w:left="2340" w:hanging="1800"/>
      </w:pPr>
      <w:rPr/>
    </w:lvl>
  </w:abstractNum>
  <w:abstractNum w:abstractNumId="2">
    <w:lvl w:ilvl="0">
      <w:start w:val="1"/>
      <w:numFmt w:val="decimal"/>
      <w:lvlText w:val="%1."/>
      <w:lvlJc w:val="left"/>
      <w:pPr>
        <w:ind w:left="54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391" w:hanging="36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602"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302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620" w:hanging="1080"/>
      </w:pPr>
      <w:rPr>
        <w:b w:val="0"/>
        <w:i w:val="0"/>
        <w:smallCaps w:val="0"/>
        <w:strike w:val="0"/>
        <w:color w:val="000000"/>
        <w:u w:val="none"/>
        <w:vertAlign w:val="baseline"/>
      </w:rPr>
    </w:lvl>
    <w:lvl w:ilvl="5">
      <w:start w:val="1"/>
      <w:numFmt w:val="upperLetter"/>
      <w:lvlText w:val="(%6)"/>
      <w:lvlJc w:val="left"/>
      <w:pPr>
        <w:ind w:left="1620" w:hanging="1080"/>
      </w:pPr>
      <w:rPr>
        <w:b w:val="0"/>
        <w:i w:val="0"/>
        <w:smallCaps w:val="0"/>
        <w:strike w:val="0"/>
        <w:color w:val="000000"/>
        <w:u w:val="none"/>
        <w:vertAlign w:val="baseline"/>
      </w:rPr>
    </w:lvl>
    <w:lvl w:ilvl="6">
      <w:start w:val="1"/>
      <w:numFmt w:val="decimal"/>
      <w:lvlText w:val="%1.%2.%3.%4.%5.%6.%7"/>
      <w:lvlJc w:val="left"/>
      <w:pPr>
        <w:ind w:left="1980" w:hanging="1440"/>
      </w:pPr>
      <w:rPr/>
    </w:lvl>
    <w:lvl w:ilvl="7">
      <w:start w:val="1"/>
      <w:numFmt w:val="decimal"/>
      <w:lvlText w:val="%1.%2.%3.%4.%5.%6.%7.%8"/>
      <w:lvlJc w:val="left"/>
      <w:pPr>
        <w:ind w:left="1980" w:hanging="1440"/>
      </w:pPr>
      <w:rPr/>
    </w:lvl>
    <w:lvl w:ilvl="8">
      <w:start w:val="1"/>
      <w:numFmt w:val="decimal"/>
      <w:lvlText w:val="%1.%2.%3.%4.%5.%6.%7.%8.%9"/>
      <w:lvlJc w:val="left"/>
      <w:pPr>
        <w:ind w:left="2340" w:hanging="180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pPr>
      <w:overflowPunct w:val="0"/>
      <w:autoSpaceDE w:val="0"/>
      <w:autoSpaceDN w:val="0"/>
      <w:adjustRightInd w:val="0"/>
      <w:spacing w:after="240" w:line="240" w:lineRule="auto"/>
      <w:jc w:val="both"/>
      <w:textAlignment w:val="baseline"/>
    </w:pPr>
    <w:rPr>
      <w:rFonts w:ascii="Calibri" w:cs="Arial" w:eastAsia="Times New Roman" w:hAnsi="Calibri"/>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qFormat w:val="1"/>
    <w:pPr>
      <w:numPr>
        <w:numId w:val="1"/>
      </w:numPr>
      <w:tabs>
        <w:tab w:val="left" w:pos="142"/>
      </w:tabs>
      <w:overflowPunct w:val="1"/>
      <w:autoSpaceDE w:val="1"/>
      <w:autoSpaceDN w:val="1"/>
      <w:spacing w:before="120"/>
      <w:textAlignment w:val="auto"/>
      <w:outlineLvl w:val="1"/>
    </w:pPr>
    <w:rPr>
      <w:rFonts w:eastAsia="STZhongsong"/>
      <w:b w:val="1"/>
      <w:caps w:val="1"/>
      <w:lang w:eastAsia="zh-CN"/>
    </w:rPr>
  </w:style>
  <w:style w:type="paragraph" w:styleId="GPSL3numberedclause" w:customStyle="1">
    <w:name w:val="GPS L3 numbered clause"/>
    <w:basedOn w:val="Normal"/>
    <w:link w:val="GPSL3numberedclauseChar"/>
    <w:qFormat w:val="1"/>
    <w:pPr>
      <w:numPr>
        <w:ilvl w:val="2"/>
        <w:numId w:val="1"/>
      </w:numPr>
      <w:overflowPunct w:val="1"/>
      <w:autoSpaceDE w:val="1"/>
      <w:autoSpaceDN w:val="1"/>
      <w:spacing w:after="120" w:before="120"/>
      <w:ind w:left="1656"/>
      <w:textAlignment w:val="auto"/>
    </w:pPr>
    <w:rPr>
      <w:lang w:eastAsia="zh-CN"/>
    </w:rPr>
  </w:style>
  <w:style w:type="paragraph" w:styleId="GPSL4numberedclause" w:customStyle="1">
    <w:name w:val="GPS L4 numbered clause"/>
    <w:basedOn w:val="GPSL3numberedclause"/>
    <w:link w:val="GPSL4numberedclauseChar"/>
    <w:qFormat w:val="1"/>
    <w:pPr>
      <w:numPr>
        <w:ilvl w:val="3"/>
      </w:numPr>
      <w:tabs>
        <w:tab w:val="left" w:pos="2552"/>
      </w:tabs>
    </w:pPr>
  </w:style>
  <w:style w:type="character" w:styleId="GPSL4numberedclauseChar" w:customStyle="1">
    <w:name w:val="GPS L4 numbered clause Char"/>
    <w:link w:val="GPSL4numberedclause"/>
    <w:locked w:val="1"/>
    <w:rPr>
      <w:rFonts w:ascii="Calibri" w:cs="Arial" w:eastAsia="Times New Roman" w:hAnsi="Calibri"/>
      <w:lang w:eastAsia="zh-CN"/>
    </w:rPr>
  </w:style>
  <w:style w:type="paragraph" w:styleId="GPSL5numberedclause" w:customStyle="1">
    <w:name w:val="GPS L5 numbered clause"/>
    <w:basedOn w:val="GPSL4numberedclause"/>
    <w:qFormat w:val="1"/>
    <w:pPr>
      <w:numPr>
        <w:ilvl w:val="4"/>
      </w:numPr>
      <w:tabs>
        <w:tab w:val="num" w:pos="360"/>
        <w:tab w:val="left" w:pos="3119"/>
      </w:tabs>
      <w:ind w:left="3119" w:hanging="567"/>
    </w:pPr>
  </w:style>
  <w:style w:type="paragraph" w:styleId="GPSL2NumberedBoldHeading" w:customStyle="1">
    <w:name w:val="GPS L2 Numbered Bold Heading"/>
    <w:basedOn w:val="Normal"/>
    <w:qFormat w:val="1"/>
    <w:pPr>
      <w:numPr>
        <w:ilvl w:val="1"/>
        <w:numId w:val="1"/>
      </w:numPr>
      <w:tabs>
        <w:tab w:val="left" w:pos="1134"/>
      </w:tabs>
      <w:overflowPunct w:val="1"/>
      <w:autoSpaceDE w:val="1"/>
      <w:autoSpaceDN w:val="1"/>
      <w:spacing w:after="120" w:before="120"/>
      <w:textAlignment w:val="auto"/>
    </w:pPr>
    <w:rPr>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1SCHEDULEHeading" w:customStyle="1">
    <w:name w:val="GPS L1 SCHEDULE Heading"/>
    <w:basedOn w:val="GPSL1CLAUSEHEADING"/>
    <w:link w:val="GPSL1SCHEDULEHeadingChar"/>
    <w:qFormat w:val="1"/>
    <w:pPr>
      <w:tabs>
        <w:tab w:val="clear" w:pos="142"/>
      </w:tabs>
      <w:ind w:left="360"/>
      <w:outlineLvl w:val="9"/>
    </w:pPr>
  </w:style>
  <w:style w:type="paragraph" w:styleId="GPSmacrorestart" w:customStyle="1">
    <w:name w:val="GPS macro restart"/>
    <w:basedOn w:val="Normal"/>
    <w:qFormat w:val="1"/>
    <w:pPr>
      <w:spacing w:after="0"/>
    </w:pPr>
    <w:rPr>
      <w:color w:val="ffffff"/>
      <w:sz w:val="16"/>
      <w:szCs w:val="16"/>
    </w:rPr>
  </w:style>
  <w:style w:type="paragraph" w:styleId="GPSSchTitleandNumber" w:customStyle="1">
    <w:name w:val="GPS Sch Title and Number"/>
    <w:basedOn w:val="Normal"/>
    <w:link w:val="GPSSchTitleandNumberChar"/>
    <w:qFormat w:val="1"/>
    <w:pPr>
      <w:keepNext w:val="1"/>
      <w:overflowPunct w:val="1"/>
      <w:autoSpaceDE w:val="1"/>
      <w:autoSpaceDN w:val="1"/>
      <w:ind w:firstLine="426"/>
      <w:jc w:val="center"/>
      <w:textAlignment w:val="auto"/>
      <w:outlineLvl w:val="0"/>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clear" w:pos="1134"/>
      </w:tabs>
      <w:ind w:left="936" w:hanging="576"/>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character" w:styleId="GPSSchTitleandNumberChar" w:customStyle="1">
    <w:name w:val="GPS Sch Title and Number Char"/>
    <w:link w:val="GPSSchTitleandNumber"/>
    <w:locked w:val="1"/>
    <w:rPr>
      <w:rFonts w:ascii="Arial Bold" w:cs="Times New Roman" w:eastAsia="STZhongsong" w:hAnsi="Arial Bold"/>
      <w:b w:val="1"/>
      <w:caps w:val="1"/>
      <w:lang w:eastAsia="zh-CN"/>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table" w:styleId="TableGrid">
    <w:name w:val="Table Grid"/>
    <w:basedOn w:val="TableNormal"/>
    <w:uiPriority w:val="59"/>
    <w:pPr>
      <w:spacing w:after="0" w:line="240" w:lineRule="auto"/>
    </w:pPr>
    <w:rPr>
      <w:rFonts w:ascii="Calibri" w:cs="Times New Roman" w:eastAsia="Calibri" w:hAnsi="Calibri"/>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CommentReference">
    <w:name w:val="annotation reference"/>
    <w:basedOn w:val="DefaultParagraphFont"/>
    <w:unhideWhenUsed w:val="1"/>
    <w:rPr>
      <w:sz w:val="16"/>
      <w:szCs w:val="16"/>
    </w:rPr>
  </w:style>
  <w:style w:type="paragraph" w:styleId="CommentText">
    <w:name w:val="annotation text"/>
    <w:basedOn w:val="Normal"/>
    <w:link w:val="CommentTextChar"/>
    <w:unhideWhenUsed w:val="1"/>
    <w:rPr>
      <w:sz w:val="20"/>
      <w:szCs w:val="20"/>
    </w:rPr>
  </w:style>
  <w:style w:type="character" w:styleId="CommentTextChar" w:customStyle="1">
    <w:name w:val="Comment Text Char"/>
    <w:basedOn w:val="DefaultParagraphFont"/>
    <w:link w:val="CommentText"/>
    <w:uiPriority w:val="99"/>
    <w:semiHidden w:val="1"/>
    <w:rPr>
      <w:rFonts w:ascii="Calibri" w:cs="Arial" w:eastAsia="Times New Roman"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Arial" w:eastAsia="Times New Roman" w:hAnsi="Calibri"/>
      <w:b w:val="1"/>
      <w:bCs w:val="1"/>
      <w:sz w:val="20"/>
      <w:szCs w:val="20"/>
    </w:rPr>
  </w:style>
  <w:style w:type="paragraph" w:styleId="11table" w:customStyle="1">
    <w:name w:val="1.1 table"/>
    <w:basedOn w:val="Normal"/>
    <w:qFormat w:val="1"/>
    <w:pPr>
      <w:numPr>
        <w:numId w:val="28"/>
      </w:numPr>
      <w:overflowPunct w:val="1"/>
      <w:autoSpaceDE w:val="1"/>
      <w:adjustRightInd w:val="1"/>
      <w:spacing w:after="0"/>
      <w:jc w:val="left"/>
      <w:textAlignment w:val="auto"/>
    </w:pPr>
    <w:rPr>
      <w:rFonts w:cs="Times New Roman" w:eastAsia="STZhongsong"/>
      <w:b w:val="1"/>
      <w:lang w:eastAsia="zh-CN"/>
    </w:rPr>
  </w:style>
  <w:style w:type="numbering" w:styleId="LFO9" w:customStyle="1">
    <w:name w:val="LFO9"/>
    <w:basedOn w:val="NoList"/>
    <w:pPr>
      <w:numPr>
        <w:numId w:val="28"/>
      </w:numPr>
    </w:pPr>
  </w:style>
  <w:style w:type="paragraph" w:styleId="Revision">
    <w:name w:val="Revision"/>
    <w:hidden w:val="1"/>
    <w:uiPriority w:val="99"/>
    <w:semiHidden w:val="1"/>
    <w:pPr>
      <w:spacing w:after="0" w:line="240" w:lineRule="auto"/>
    </w:pPr>
    <w:rPr>
      <w:rFonts w:ascii="Calibri" w:cs="Arial" w:eastAsia="Times New Roman" w:hAnsi="Calibri"/>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h3VAu+usY6RXqFO5Jy7bKOiTtKw==">CgMxLjAyCGguZ2pkZ3hzMgloLjMwajB6bGwyCmlkLjFmb2I5dGUyCWguM3pueXNoNzgAaiMKFHN1Z2dlc3QuOHFiMXFpcTBqNzJrEgtKb2huIERldmVyeXIhMUc1T1R6V3Z0TzBZUWZDRlFWYldaMlpUV2tRSzFFTkl6</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2018-06-22T14:55:00Z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